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98" w:rsidRPr="00500AA2" w:rsidRDefault="0057656B" w:rsidP="004953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S3 </w:t>
      </w:r>
      <w:r w:rsidR="00495398" w:rsidRPr="00500AA2"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/>
          <w:b/>
          <w:sz w:val="24"/>
          <w:szCs w:val="24"/>
        </w:rPr>
        <w:t>.</w:t>
      </w:r>
      <w:r w:rsidR="00495398">
        <w:rPr>
          <w:rFonts w:ascii="Times New Roman" w:hAnsi="Times New Roman"/>
          <w:b/>
          <w:sz w:val="24"/>
          <w:szCs w:val="24"/>
        </w:rPr>
        <w:t xml:space="preserve"> List of </w:t>
      </w:r>
      <w:proofErr w:type="spellStart"/>
      <w:r w:rsidR="00495398">
        <w:rPr>
          <w:rFonts w:ascii="Times New Roman" w:hAnsi="Times New Roman"/>
          <w:b/>
          <w:sz w:val="24"/>
          <w:szCs w:val="24"/>
        </w:rPr>
        <w:t>upregulated</w:t>
      </w:r>
      <w:proofErr w:type="spellEnd"/>
      <w:r w:rsidR="00495398">
        <w:rPr>
          <w:rFonts w:ascii="Times New Roman" w:hAnsi="Times New Roman"/>
          <w:b/>
          <w:sz w:val="24"/>
          <w:szCs w:val="24"/>
        </w:rPr>
        <w:t xml:space="preserve"> genes in response to PA.</w:t>
      </w:r>
    </w:p>
    <w:tbl>
      <w:tblPr>
        <w:tblW w:w="9483" w:type="dxa"/>
        <w:tblInd w:w="93" w:type="dxa"/>
        <w:tblLayout w:type="fixed"/>
        <w:tblLook w:val="04A0"/>
      </w:tblPr>
      <w:tblGrid>
        <w:gridCol w:w="1455"/>
        <w:gridCol w:w="90"/>
        <w:gridCol w:w="900"/>
        <w:gridCol w:w="90"/>
        <w:gridCol w:w="90"/>
        <w:gridCol w:w="90"/>
        <w:gridCol w:w="1080"/>
        <w:gridCol w:w="5688"/>
      </w:tblGrid>
      <w:tr w:rsidR="00495398" w:rsidRPr="00500AA2" w:rsidTr="00D75F03">
        <w:trPr>
          <w:trHeight w:val="3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98" w:rsidRPr="00500AA2" w:rsidRDefault="00495398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sz w:val="24"/>
                <w:szCs w:val="24"/>
              </w:rPr>
              <w:t>ORF ID</w:t>
            </w:r>
            <w:r w:rsidRPr="00500AA2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¥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/>
                <w:bCs/>
                <w:sz w:val="24"/>
                <w:szCs w:val="24"/>
              </w:rPr>
              <w:t>Standard gene name</w:t>
            </w:r>
            <w:r w:rsidRPr="00500AA2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/>
                <w:bCs/>
                <w:sz w:val="24"/>
                <w:szCs w:val="24"/>
              </w:rPr>
              <w:t>Fold change</w:t>
            </w:r>
            <w:r w:rsidRPr="00500AA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(Log</w:t>
            </w:r>
            <w:r w:rsidRPr="00670D2F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495398" w:rsidRPr="00500AA2" w:rsidTr="00D75F03">
        <w:trPr>
          <w:trHeight w:val="330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Plasma membrane genes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orf19.4699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TGL3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phospholipase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patatin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family;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Tgl3p; predicted Kex2p substrate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orf19.656</w:t>
            </w:r>
          </w:p>
        </w:tc>
        <w:tc>
          <w:tcPr>
            <w:tcW w:w="1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DPP1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diacylglycerol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pyrophosphate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phosphatase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diacylglycerol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production for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phospholipid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biosynthesis;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correlates with clinical development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resistance</w:t>
            </w:r>
          </w:p>
        </w:tc>
      </w:tr>
      <w:tr w:rsidR="00495398" w:rsidRPr="00500AA2" w:rsidTr="00D75F03">
        <w:trPr>
          <w:trHeight w:val="315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Yeast to </w:t>
            </w:r>
            <w:proofErr w:type="spellStart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Hypha</w:t>
            </w:r>
            <w:proofErr w:type="spellEnd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transition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orf19.6598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WAL1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A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required for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growth and for wild-type cell morphology, polarized budding,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endocytosis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vacuole morphology; similar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Wiskott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-Aldrich syndrome protein; localizes to cortical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patches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tips</w:t>
            </w:r>
          </w:p>
        </w:tc>
      </w:tr>
      <w:tr w:rsidR="00495398" w:rsidRPr="00500AA2" w:rsidTr="00D75F03">
        <w:trPr>
          <w:trHeight w:val="300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Calcineurin</w:t>
            </w:r>
            <w:proofErr w:type="spellEnd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signaling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orf19.3329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LCB3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2.01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sphingosine-1-phosphate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phosphatase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role in calcium-mediated signaling and endoplasmic reticulum localization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orf19.405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VCX1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2.05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H+/Ca2+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antiporter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fungal-specific (no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homolog)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orf19.7089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PMR1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secretory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pathway P-type Ca2+/Mn2+-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required for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glycosylation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cell wall maintenance; required for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tip oscillation in semisolid substrate; 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PMR1</w:t>
            </w:r>
          </w:p>
        </w:tc>
      </w:tr>
      <w:tr w:rsidR="00495398" w:rsidRPr="00500AA2" w:rsidTr="00D75F03">
        <w:trPr>
          <w:trHeight w:val="315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Cell wall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orf19.4765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PGA6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GPI-anchored cell wall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adhesin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-like protein;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transcriptionally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induced under high iron conditions;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upon Als2p depletion; mRNA binds to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She3p and is localized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tips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orf19.7084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DFI1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Cell-surface associated glycoprotein; promotes activation of Cek1p in a matrix-dependent manner; N-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glycosylated</w:t>
            </w:r>
            <w:proofErr w:type="spellEnd"/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orf19.2990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XOG1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Exo-1,3-beta-glucanase; 5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glycosyl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hydrolase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family member; affects sensitivity to chitin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glucan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synthesis inhibitors; not required for yeast-to-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transition or for virulence in mouse systemic infection; Hap43p-induced gene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orf19.7676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XYL2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D-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xylulose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reductase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immunogenic in mice; soluble protein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induced by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caspofungin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Hog1p and during cell wall regeneration; Mnl1p-induced in weak acid stress; stationary phase enriched;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orf19.1665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MNT1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Alpha-1,2-mannosyl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adds second mannose during cell-wall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mannoprotein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biosynthesis; required for wild-type virulence and adherence to epithelial cells; predicted type II Golgi membrane protein; fungal-specific; Hap43p-induced</w:t>
            </w:r>
          </w:p>
        </w:tc>
      </w:tr>
      <w:tr w:rsidR="00495398" w:rsidRPr="00500AA2" w:rsidTr="00D75F03">
        <w:trPr>
          <w:trHeight w:val="300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Cell cycle arrest/Cytoskeleton </w:t>
            </w:r>
            <w:proofErr w:type="spellStart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organisation</w:t>
            </w:r>
            <w:proofErr w:type="spellEnd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/DNA replication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orf19.4867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SWE1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with a role in control of growth and morphogenesis, required for full virulence; mutant cells are small, rounded, and sometimes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binucleate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not required for filamentous growth; mutant is hypersensitive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caspofungin</w:t>
            </w:r>
            <w:proofErr w:type="spellEnd"/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orf19.513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with a DNA-binding domain,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meiosis-specific transcription factor Ndt80p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orf19.6049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SLI15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activator activity, role in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phosphorylation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regulation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cytokinesis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chromosome passenger complex,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kinetochore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microtubule, spindle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midzone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localization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orf19.2070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RSC58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G1/S transition of mitotic cell cycle, chromatin remodeling,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nucleosome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disassembly, transcription elongation from RNA polymerase II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promoter and RSC complex localization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Mitochondria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orf19.3419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MAE1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Malic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enzyme, mitochondrial; transcription regulated by Mig1p and Tup1p; shows colony morphology-related gene regulation by Ssn6p; Hap43p-repressed gene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orf19.5000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CYB2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cytochrome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b2 precursor protein;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transcriptionally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regulated by iron; expression greater in high iron; alkaline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shows colony morphology-related gene regulation by Ssn6p; Hap43p-repressed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orf19.5776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TOM1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E3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ubiquitin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ligase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transcription is regulated by Nrg1p and Mig1p</w:t>
            </w:r>
          </w:p>
        </w:tc>
      </w:tr>
      <w:tr w:rsidR="00495398" w:rsidRPr="00500AA2" w:rsidTr="00D75F03">
        <w:trPr>
          <w:trHeight w:val="300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Transcription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orf19.1718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ZCF8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Predicted zinc-finger protein; decreased transcription is observed upon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fluphenazine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treatment; required for yeast cell adherence to silicone substrate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orf19.6314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RPB8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subunit of RNA polymerases I, II, and III; regulated by Gcn4p; repressed in response to amino acid starvation (3-aminotriazole treatment); heterozygous null mutant exhibits resistance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parnafungin</w:t>
            </w:r>
            <w:proofErr w:type="spellEnd"/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orf19.1499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CTF1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zinc-finger transcription factor, similar to </w:t>
            </w:r>
            <w:r w:rsidRPr="009509E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A. </w:t>
            </w:r>
            <w:proofErr w:type="spellStart"/>
            <w:r w:rsidRPr="009509E5">
              <w:rPr>
                <w:rFonts w:ascii="Times New Roman" w:hAnsi="Times New Roman"/>
                <w:bCs/>
                <w:i/>
                <w:sz w:val="24"/>
                <w:szCs w:val="24"/>
              </w:rPr>
              <w:t>nidulans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FarA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FarB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activates genes required for fatty acid degradation; induced by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oleate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null mutant displays carbon source utilization defects and slightly reduced virulence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orf19.2748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ARG83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Zinc-finger protein;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clade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-associated gene expression; null mutant shows abnormal regulation of invasive colony growth and is unable to utilize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proline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as a nitrogen source; late-stage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orf19.6314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RPB8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subunit of RNA polymerases I, II, and III; regulated by Gcn4p; repressed in response to amino acid starvation (3-aminotriazole treatment); heterozygous null mutant exhibits resistance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parnafungin</w:t>
            </w:r>
            <w:proofErr w:type="spellEnd"/>
          </w:p>
        </w:tc>
      </w:tr>
      <w:tr w:rsidR="00495398" w:rsidRPr="00500AA2" w:rsidTr="00D75F03">
        <w:trPr>
          <w:trHeight w:val="315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Translation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orf19.5351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TIF11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Translation initiation factor eIF1a; possibly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transcriptionally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regulated upon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formation; genes encoding ribosomal subunits, translation factors,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tRNAsynthetases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are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upon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phagocytosis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macrophage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orf19.4279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MNN1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alpha-1,3-mannosyltransferase, a component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mannosyltransferase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complex; transcription negatively regulated by Rim101p; transcription elevated in chk1 and nik1 null mutants, but not in sln1 null mutant;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 gene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orf19.4900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MNT2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alpha-1,3-mannosyltransferase activity and role in protein O-linked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glycosylation</w:t>
            </w:r>
            <w:proofErr w:type="spellEnd"/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orf19.3341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YDR341C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tRNA-Argsynthetase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essential; genes encoding ribosomal subunits, translation factors,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tRNAsynthetases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are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upon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phagocytosis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macrophage;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by growth in the mouse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cecum</w:t>
            </w:r>
            <w:proofErr w:type="spellEnd"/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orf19.4283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translational initiation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eukaryotic 43S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preinitiation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complex, eukaryotic translation initiation factor 3 complex, eIF3e, eukaryotic translation initiation factor 3 complex, eIF3m, nucleus localization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orf19.261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SEC59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dolichol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role in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glycosylation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endoplasmic reticulum membrane localization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Translocation and transport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SPF1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calcium-transporting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involved in control of calcium homeostasis, response to ER stress,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growth,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formation and virulence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orf19.3366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CSH3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Functional homolog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Shr3p, which is a chaperone specific for amino acid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permeases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localized to ER; required for wild-type amino-acid responsive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growth and for mouse systemic virulence;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regulated by Gcn2p and Gcn4p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orf19.645.1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VMA13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Has domain(s) with predicted proton-transporting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rotational mechanism activity, role in ATP hydrolysis coupled proton transport and vacuolar proton-transporting V-type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V1 domain localization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orf19.1655.3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PMP3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transport, regulation of membrane potential and plasma membrane localization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orf19.6665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NUP2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nucleocytoplasmic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transporter activity</w:t>
            </w:r>
          </w:p>
        </w:tc>
      </w:tr>
      <w:tr w:rsidR="00495398" w:rsidRPr="00500AA2" w:rsidTr="00D75F03">
        <w:trPr>
          <w:trHeight w:val="315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Iron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orf19.424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TRP99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thioredoxin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peroxidase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/alkyl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hydroperoxide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reductase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transcriptionally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regulated by iron; expression greater in low iron; regulated by Gcn4p; induced in response to amino acid starvation (3-aminotriazole treatment)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FTR2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High-affinity iron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permease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probably interacts with ferrous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oxidase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regulated by iron level,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ciclopiroxolamine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amphotericin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caspofungin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complements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ftr1 iron transport defect; Hap43p-repressed</w:t>
            </w:r>
          </w:p>
        </w:tc>
      </w:tr>
      <w:tr w:rsidR="00495398" w:rsidRPr="00500AA2" w:rsidTr="00D75F03">
        <w:trPr>
          <w:trHeight w:val="315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Cellular metabolic processes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orf19.946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MET14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adenylylsulfate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predicted role in sulfur metabolism; induced upon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formation; possibly adherence-induced; protein present in exponential and stationary growth phase yeast cultures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orf19.5159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DUG3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gamma-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glutamyltransferase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omega peptidase activity, role in glutathione catabolic process and cytoplasm localization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orf19.7269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PAA1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aralkylamine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acetyltransferase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diamine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acetyltransferase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role in chromatin organization and cytoplasm localization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orf19.271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ADH4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not essential for viability; transcription is increased in an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-resistant strain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overexpressing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MDR1; transcription is increased in populations of cells exposed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over multiple generations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orf19.3396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HCH1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not essential for viability; regulated by Gcn4p; induced in response to amino acid starvation (3-aminotriazole treatment);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Hch1p, which is a regulator of heat shock protein Hsp90p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orf19.1359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UBX4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protein complex binding activity, role in ER-associated protein catabolic process,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sporulation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resulting in formation of a cellular spore and cytoplasm, nucleus, peripheral to membrane of membrane fraction localization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orf19.5912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MAK21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66S pre-ribosomal particle subunit; mutation confers hypersensitivity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tubercidin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(7-deazaadenosine)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orf19.2124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Has domain(s) with predicted nucleotide binding,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oxidoreductase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transferring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acyl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groups other than amino-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acyl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groups, zinc ion binding activity and role in oxidation-reduction process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orf19.4172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Has domain(s) with predicted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hydrolase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 and role in metabolic process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orf19.7394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GDA1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Golgi membrane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GDPase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required for wild-type O-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mannosylation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not N-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glycosylation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required for wild-type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induction, cell wall, and cell surface charge; not required for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HeLa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cell adherence; functional homolog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Gda1p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orf19.1448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APT1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Adenine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phosphoribosyltransferase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flucytosine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induced; repressed by nitric oxide; protein level decreased in stationary phase yeast cultures</w:t>
            </w:r>
          </w:p>
        </w:tc>
      </w:tr>
      <w:tr w:rsidR="00495398" w:rsidRPr="00500AA2" w:rsidTr="00D75F03">
        <w:trPr>
          <w:trHeight w:val="315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Cell communication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orf19.2795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LHP1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binding activity, role in regulation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ascospore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formation, regulation of conjugation with cellular fusion,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3'-trailer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cleavage and nucleolus,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nucleoplasm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localization</w:t>
            </w:r>
          </w:p>
        </w:tc>
      </w:tr>
      <w:tr w:rsidR="00495398" w:rsidRPr="00500AA2" w:rsidTr="00D75F03">
        <w:trPr>
          <w:trHeight w:val="315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Uncharacterized genes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orf19.5299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ECM1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pre-ribosomal factor; decreased mRNA abundance observed in cyr1 homozygous mutant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induced by heavy metal (cadmium) stress; Hog1p regulated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orf19.3600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Late-stage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 gene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orf19.6637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planktonic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growth-induced gene; induced by hypoxia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orf19.2177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Sef1p-, Sfu1p-, and Hap43p-regulated gene; overlaps IFM3/orf19.2176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orf19.5079.1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C. </w:t>
            </w:r>
            <w:proofErr w:type="spellStart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>parapsilosis</w:t>
            </w:r>
            <w:proofErr w:type="spellEnd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CDC317 : CPAR2_206680,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tenuis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NRRL Y-1498 : CANTEDRAFT_104385,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Debaryomyceshansenii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CBS767 : DEHA2C10934g and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dubliniensis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CD36 : CD36_07590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orf19.4674.1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CRD2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Metallothionein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role in adaptation to growth in high copper; basal transcription is cadmium-repressed; regulated by Ssn6p; complements copper sensitivity of an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cup1 null mutant; regulated by Sef1p-, Sfu1p-, and Hap43p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orf19.3678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Protein not essential for viability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orf19.2257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YNR021W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endoplasmic reticulum localization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orf19.6324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VID27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Vid27p;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transposon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mutation affects filamentous growth; mutation confers hypersensitivity to toxic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ergosterol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analog; fungal-specific (no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homolog)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orf19.5231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Late-stage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 gene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orf19.4756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YTP1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: YTP1, </w:t>
            </w:r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C. </w:t>
            </w:r>
            <w:proofErr w:type="spellStart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>parapsilosis</w:t>
            </w:r>
            <w:proofErr w:type="spellEnd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CDC317 : CPAR2_801590,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tenuis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NRRL Y-1498 : CANTEDRAFT_109732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Debaryomyceshansenii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CBS767 : DEHA2C10384g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orf19.6644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 gene; transcription detected in high-resolution tiling array experiments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orf19.2994.1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RPS16A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40S ribosomal subunit; macrophage/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pseudohyphal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 after 16 h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orf19.4847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ORF Predicted by Annotation Working Group; overlaps orf19.4846</w:t>
            </w:r>
          </w:p>
        </w:tc>
      </w:tr>
      <w:tr w:rsidR="00495398" w:rsidRPr="00500AA2" w:rsidTr="00D75F03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98" w:rsidRPr="00500AA2" w:rsidRDefault="00495398" w:rsidP="00D75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orf19.2819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398" w:rsidRPr="00500AA2" w:rsidRDefault="00495398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C. </w:t>
            </w:r>
            <w:proofErr w:type="spellStart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>parapsilosis</w:t>
            </w:r>
            <w:proofErr w:type="spellEnd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CDC317 : CPAR2_801010,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Debaryomyceshansenii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CBS767 : DEHA2E09306g,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dubliniensis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CD36 : CD36_27570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Pichia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stipitisPignal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: PICST_30503</w:t>
            </w:r>
          </w:p>
        </w:tc>
      </w:tr>
    </w:tbl>
    <w:p w:rsidR="00495398" w:rsidRPr="00500AA2" w:rsidRDefault="00495398" w:rsidP="0049539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00AA2">
        <w:rPr>
          <w:rFonts w:ascii="Times New Roman" w:eastAsia="Times New Roman" w:hAnsi="Times New Roman"/>
          <w:sz w:val="24"/>
          <w:szCs w:val="24"/>
        </w:rPr>
        <w:t xml:space="preserve">¥: Gene names and ORF numbers according to the </w:t>
      </w:r>
      <w:r w:rsidRPr="00672F61">
        <w:rPr>
          <w:rFonts w:ascii="Times New Roman" w:eastAsia="Times New Roman" w:hAnsi="Times New Roman"/>
          <w:i/>
          <w:sz w:val="24"/>
          <w:szCs w:val="24"/>
        </w:rPr>
        <w:t>Candida</w:t>
      </w:r>
      <w:r w:rsidRPr="00500AA2">
        <w:rPr>
          <w:rFonts w:ascii="Times New Roman" w:eastAsia="Times New Roman" w:hAnsi="Times New Roman"/>
          <w:sz w:val="24"/>
          <w:szCs w:val="24"/>
        </w:rPr>
        <w:t xml:space="preserve"> genomic database.</w:t>
      </w:r>
    </w:p>
    <w:p w:rsidR="00495398" w:rsidRPr="00500AA2" w:rsidRDefault="00495398" w:rsidP="0049539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00AA2">
        <w:rPr>
          <w:rFonts w:ascii="Times New Roman" w:eastAsia="Times New Roman" w:hAnsi="Times New Roman"/>
          <w:sz w:val="24"/>
          <w:szCs w:val="24"/>
        </w:rPr>
        <w:t>*: The average expression ratio</w:t>
      </w:r>
      <w:r>
        <w:rPr>
          <w:rFonts w:ascii="Times New Roman" w:eastAsia="Times New Roman" w:hAnsi="Times New Roman"/>
          <w:sz w:val="24"/>
          <w:szCs w:val="24"/>
        </w:rPr>
        <w:t xml:space="preserve"> (Log</w:t>
      </w:r>
      <w:r w:rsidRPr="0080186B">
        <w:rPr>
          <w:rFonts w:ascii="Times New Roman" w:eastAsia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/>
          <w:sz w:val="24"/>
          <w:szCs w:val="24"/>
        </w:rPr>
        <w:t>fold changes)</w:t>
      </w:r>
      <w:r w:rsidRPr="00500AA2">
        <w:rPr>
          <w:rFonts w:ascii="Times New Roman" w:eastAsia="Times New Roman" w:hAnsi="Times New Roman"/>
          <w:sz w:val="24"/>
          <w:szCs w:val="24"/>
        </w:rPr>
        <w:t xml:space="preserve"> from three independent experiments is shown. Pos</w:t>
      </w:r>
      <w:r>
        <w:rPr>
          <w:rFonts w:ascii="Times New Roman" w:eastAsia="Times New Roman" w:hAnsi="Times New Roman"/>
          <w:sz w:val="24"/>
          <w:szCs w:val="24"/>
        </w:rPr>
        <w:t xml:space="preserve">itive numbers indicate </w:t>
      </w:r>
      <w:proofErr w:type="spellStart"/>
      <w:r w:rsidRPr="00500AA2">
        <w:rPr>
          <w:rFonts w:ascii="Times New Roman" w:eastAsia="Times New Roman" w:hAnsi="Times New Roman"/>
          <w:sz w:val="24"/>
          <w:szCs w:val="24"/>
        </w:rPr>
        <w:t>upregulation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684293" w:rsidRDefault="0057656B"/>
    <w:sectPr w:rsidR="00684293" w:rsidSect="00B8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95398"/>
    <w:rsid w:val="00495398"/>
    <w:rsid w:val="0057656B"/>
    <w:rsid w:val="006339D3"/>
    <w:rsid w:val="00A21CFC"/>
    <w:rsid w:val="00B84D36"/>
    <w:rsid w:val="00E6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1820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Moiz</dc:creator>
  <cp:lastModifiedBy>DR. ZEESHAN FATIMA</cp:lastModifiedBy>
  <cp:revision>2</cp:revision>
  <dcterms:created xsi:type="dcterms:W3CDTF">2016-08-27T18:04:00Z</dcterms:created>
  <dcterms:modified xsi:type="dcterms:W3CDTF">2016-08-28T12:25:00Z</dcterms:modified>
</cp:coreProperties>
</file>